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2015年11月</w:t>
      </w:r>
      <w:r w:rsidR="003E2E80">
        <w:rPr>
          <w:rFonts w:hint="eastAsia"/>
          <w:szCs w:val="22"/>
          <w:lang w:eastAsia="zh-TW"/>
        </w:rPr>
        <w:t>25</w:t>
      </w:r>
      <w:r w:rsidRPr="00D961F3">
        <w:rPr>
          <w:rFonts w:hint="eastAsia"/>
          <w:szCs w:val="22"/>
          <w:lang w:eastAsia="zh-TW"/>
        </w:rPr>
        <w:t>日</w:t>
      </w:r>
      <w:r>
        <w:rPr>
          <w:rFonts w:hint="eastAsia"/>
          <w:szCs w:val="22"/>
          <w:lang w:eastAsia="zh-TW"/>
        </w:rPr>
        <w:t xml:space="preserve">　</w:t>
      </w:r>
    </w:p>
    <w:p w:rsidR="005438B3" w:rsidRDefault="005438B3" w:rsidP="005438B3"/>
    <w:p w:rsidR="002C4EC3" w:rsidRPr="00F03577" w:rsidRDefault="002C4EC3" w:rsidP="002C4EC3">
      <w:pPr>
        <w:rPr>
          <w:sz w:val="28"/>
          <w:szCs w:val="28"/>
        </w:rPr>
      </w:pPr>
      <w:r w:rsidRPr="00F03577">
        <w:rPr>
          <w:rFonts w:hint="eastAsia"/>
          <w:sz w:val="28"/>
          <w:szCs w:val="28"/>
        </w:rPr>
        <w:t xml:space="preserve">　</w:t>
      </w:r>
      <w:r>
        <w:rPr>
          <w:rFonts w:hint="eastAsia"/>
          <w:sz w:val="28"/>
          <w:szCs w:val="28"/>
        </w:rPr>
        <w:t>社 会 民 主 党</w:t>
      </w:r>
    </w:p>
    <w:p w:rsidR="002C4EC3" w:rsidRPr="00F03577" w:rsidRDefault="002C4EC3" w:rsidP="002C4EC3">
      <w:pPr>
        <w:rPr>
          <w:sz w:val="28"/>
          <w:szCs w:val="28"/>
          <w:lang w:eastAsia="zh-TW"/>
        </w:rPr>
      </w:pPr>
      <w:r w:rsidRPr="00F03577">
        <w:rPr>
          <w:rFonts w:hint="eastAsia"/>
          <w:sz w:val="28"/>
          <w:szCs w:val="28"/>
          <w:lang w:eastAsia="zh-TW"/>
        </w:rPr>
        <w:t xml:space="preserve">　　</w:t>
      </w:r>
      <w:r>
        <w:rPr>
          <w:sz w:val="20"/>
          <w:lang w:eastAsia="zh-TW"/>
        </w:rPr>
        <w:t>党　首</w:t>
      </w:r>
      <w:r>
        <w:rPr>
          <w:rFonts w:hint="eastAsia"/>
          <w:sz w:val="28"/>
          <w:szCs w:val="28"/>
          <w:lang w:eastAsia="zh-TW"/>
        </w:rPr>
        <w:t xml:space="preserve">　吉　田　忠　智</w:t>
      </w:r>
      <w:r w:rsidRPr="00F03577">
        <w:rPr>
          <w:rFonts w:hint="eastAsia"/>
          <w:sz w:val="28"/>
          <w:szCs w:val="28"/>
          <w:lang w:eastAsia="zh-TW"/>
        </w:rPr>
        <w:t xml:space="preserve">　様</w:t>
      </w:r>
    </w:p>
    <w:p w:rsidR="005438B3" w:rsidRPr="00486533"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5438B3" w:rsidRDefault="005438B3" w:rsidP="005438B3">
      <w:r>
        <w:rPr>
          <w:rFonts w:hint="eastAsia"/>
        </w:rPr>
        <w:t xml:space="preserve">　日ごろより市民生活の向上にむけ、ご尽力いただいている貴職に敬意を表します。</w:t>
      </w:r>
    </w:p>
    <w:p w:rsidR="005438B3" w:rsidRDefault="005438B3" w:rsidP="005438B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5438B3" w:rsidRDefault="005438B3" w:rsidP="005438B3">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不安定な経済成長に依存しながらの歳出削減一辺倒では、財政再建はおろか、政府・自治体に対する国民の信頼と受益感を高めることは不可能であり、社会保障をはじめ、公共サービスの充実と税制改革をセットにした改革を進める必要があります。</w:t>
      </w:r>
    </w:p>
    <w:p w:rsidR="005438B3" w:rsidRDefault="005438B3" w:rsidP="005438B3">
      <w:r>
        <w:rPr>
          <w:rFonts w:hint="eastAsia"/>
        </w:rPr>
        <w:t xml:space="preserve">　2016年度の予算編成にむけては、地域経済の活性化と国民生活の安定をはかるため、社会保障と地方財政の確立が不可欠であり、社会保障財源と地方一般財源総額の維持・確保がはかられるよう要請します。</w:t>
      </w:r>
    </w:p>
    <w:p w:rsidR="005438B3" w:rsidRDefault="005438B3" w:rsidP="005438B3">
      <w:r>
        <w:rPr>
          <w:rFonts w:hint="eastAsia"/>
        </w:rPr>
        <w:t>（◎が重点課題）</w:t>
      </w:r>
    </w:p>
    <w:p w:rsidR="005438B3" w:rsidRDefault="005438B3" w:rsidP="005438B3">
      <w:pPr>
        <w:spacing w:line="480" w:lineRule="auto"/>
        <w:jc w:val="center"/>
      </w:pPr>
      <w:r>
        <w:rPr>
          <w:rFonts w:hint="eastAsia"/>
        </w:rPr>
        <w:t>記</w:t>
      </w:r>
    </w:p>
    <w:p w:rsidR="005438B3" w:rsidRPr="002331C6" w:rsidRDefault="005438B3" w:rsidP="005438B3">
      <w:pPr>
        <w:rPr>
          <w:rFonts w:asciiTheme="majorEastAsia" w:eastAsiaTheme="majorEastAsia" w:hAnsiTheme="majorEastAsia"/>
        </w:rPr>
      </w:pPr>
      <w:r w:rsidRPr="002331C6">
        <w:rPr>
          <w:rFonts w:asciiTheme="majorEastAsia" w:eastAsiaTheme="majorEastAsia" w:hAnsiTheme="majorEastAsia" w:hint="eastAsia"/>
        </w:rPr>
        <w:t>1.　地方財政の充実</w:t>
      </w:r>
    </w:p>
    <w:p w:rsidR="005438B3" w:rsidRDefault="005438B3" w:rsidP="005438B3">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については、地方自治体の財政運営に必要な財源となっていることから、現行水準を確保するとともに、社会保障、環境・地域交通対策など、経常的に必要な経費に振</w:t>
      </w:r>
      <w:r w:rsidR="00496497">
        <w:rPr>
          <w:rFonts w:hint="eastAsia"/>
        </w:rPr>
        <w:t>り</w:t>
      </w:r>
      <w:r>
        <w:rPr>
          <w:rFonts w:hint="eastAsia"/>
        </w:rPr>
        <w:t>替え、恒久財源への転換をはかること。（◎）</w:t>
      </w:r>
    </w:p>
    <w:p w:rsidR="005438B3" w:rsidRDefault="005438B3" w:rsidP="005438B3">
      <w:pPr>
        <w:ind w:left="719" w:hangingChars="300" w:hanging="719"/>
      </w:pPr>
      <w:r>
        <w:rPr>
          <w:rFonts w:hint="eastAsia"/>
        </w:rPr>
        <w:lastRenderedPageBreak/>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5438B3" w:rsidRDefault="005438B3" w:rsidP="005438B3">
      <w:pPr>
        <w:ind w:left="719" w:hangingChars="300" w:hanging="719"/>
      </w:pPr>
      <w:r>
        <w:rPr>
          <w:rFonts w:hint="eastAsia"/>
        </w:rPr>
        <w:t xml:space="preserve">　(３)　「骨太方針2015」において打ち出された歳出改革については、８月28日に総務省から都道府県等への助言通知が出されているが、「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5438B3" w:rsidRDefault="005438B3" w:rsidP="005438B3">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5438B3" w:rsidRDefault="005438B3" w:rsidP="005438B3">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5438B3" w:rsidRDefault="005438B3" w:rsidP="005438B3">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496497">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2.　地方分権に対応した税財政制度の抜本改革</w:t>
      </w:r>
    </w:p>
    <w:p w:rsidR="005438B3" w:rsidRDefault="005438B3" w:rsidP="005438B3">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5438B3" w:rsidRDefault="005438B3" w:rsidP="005438B3">
      <w:pPr>
        <w:ind w:left="719" w:hangingChars="300" w:hanging="719"/>
      </w:pPr>
      <w:r>
        <w:rPr>
          <w:rFonts w:hint="eastAsia"/>
        </w:rPr>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5438B3" w:rsidRDefault="005438B3" w:rsidP="005438B3">
      <w:pPr>
        <w:ind w:left="719" w:hangingChars="300" w:hanging="719"/>
      </w:pPr>
      <w:r>
        <w:rPr>
          <w:rFonts w:hint="eastAsia"/>
        </w:rPr>
        <w:lastRenderedPageBreak/>
        <w:t xml:space="preserve">　(３)　暫定措置である地方法人特別税・譲与税については、自治体の課税自主権を侵害するものであることから廃止し、地方法人事業税に復元するとともに、その際には、外形標準課税化の充実等により、地方法人税の地域間の財源偏在是正に資するように対応すること。</w:t>
      </w:r>
    </w:p>
    <w:p w:rsidR="005438B3" w:rsidRDefault="005438B3" w:rsidP="005438B3">
      <w:pPr>
        <w:ind w:left="719" w:hangingChars="300" w:hanging="719"/>
      </w:pPr>
      <w:r>
        <w:rPr>
          <w:rFonts w:hint="eastAsia"/>
        </w:rPr>
        <w:t xml:space="preserve">　(４)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5438B3" w:rsidRDefault="005438B3" w:rsidP="005438B3">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5438B3" w:rsidRDefault="005438B3" w:rsidP="005438B3">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5438B3" w:rsidRDefault="005438B3" w:rsidP="005438B3">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3.　地方公務員の総人件費抑制政策の見直し</w:t>
      </w:r>
    </w:p>
    <w:p w:rsidR="005438B3" w:rsidRDefault="005438B3" w:rsidP="005438B3">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5438B3" w:rsidRDefault="005438B3" w:rsidP="005438B3">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5438B3" w:rsidRDefault="005438B3" w:rsidP="005438B3">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0171A8" w:rsidRDefault="000171A8" w:rsidP="00D716BB"/>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4.　東日本大震災からの復旧・復興</w:t>
      </w:r>
    </w:p>
    <w:p w:rsidR="00720DE0" w:rsidRDefault="00720DE0" w:rsidP="00720DE0">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分に進んでいないこと、放射線への不安が解消されていないことなどが考えられることからも、2015年度の国勢調査に基づく普通交付税算定のあり方については、震災に伴う人口増減の影響を考慮し、財政運営に支障が生じることがないよう地方自</w:t>
      </w:r>
      <w:r>
        <w:rPr>
          <w:rFonts w:hint="eastAsia"/>
        </w:rPr>
        <w:lastRenderedPageBreak/>
        <w:t>治体と十分に協議、検討すること。（◎）</w:t>
      </w:r>
    </w:p>
    <w:p w:rsidR="00720DE0" w:rsidRDefault="00720DE0" w:rsidP="00720DE0">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720DE0" w:rsidRDefault="00720DE0" w:rsidP="00720DE0">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720DE0" w:rsidRDefault="00720DE0" w:rsidP="00720DE0">
      <w:pPr>
        <w:ind w:left="719" w:hangingChars="300" w:hanging="719"/>
      </w:pPr>
      <w:r>
        <w:rPr>
          <w:rFonts w:hint="eastAsia"/>
        </w:rPr>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5.　福島第一原子力発電所の事故関連対策の強化</w:t>
      </w:r>
    </w:p>
    <w:p w:rsidR="00720DE0" w:rsidRDefault="00720DE0" w:rsidP="00720DE0">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6.　社会保障政策の拡充</w:t>
      </w:r>
    </w:p>
    <w:p w:rsidR="00720DE0" w:rsidRDefault="00720DE0" w:rsidP="00720DE0">
      <w:pPr>
        <w:ind w:left="719" w:hangingChars="300" w:hanging="719"/>
      </w:pPr>
      <w:r>
        <w:rPr>
          <w:rFonts w:hint="eastAsia"/>
        </w:rPr>
        <w:t xml:space="preserve">　(１)　高齢者福祉、児童福祉、障害者福祉、公的扶助、地域保健、地域医療などの社会保障関係予算にかかる財源の確保を行うこと。また、給付の改善や職員の配置・処遇改善にむけた予算の確保を行うこと。</w:t>
      </w:r>
    </w:p>
    <w:p w:rsidR="00720DE0" w:rsidRDefault="00720DE0" w:rsidP="00720DE0">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720DE0" w:rsidRDefault="00720DE0" w:rsidP="00720DE0">
      <w:pPr>
        <w:ind w:left="719" w:hangingChars="300" w:hanging="719"/>
      </w:pPr>
      <w:r>
        <w:rPr>
          <w:rFonts w:hint="eastAsia"/>
        </w:rPr>
        <w:t xml:space="preserve">　(３)　一般財源となっている児童福祉施設の改築・整備の推進にむけて、特例債の措置などを検討すること。</w:t>
      </w:r>
    </w:p>
    <w:p w:rsidR="00720DE0" w:rsidRDefault="00720DE0" w:rsidP="00720DE0">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720DE0" w:rsidRDefault="00720DE0" w:rsidP="00720DE0">
      <w:pPr>
        <w:ind w:left="719" w:hangingChars="300" w:hanging="719"/>
      </w:pPr>
      <w:r>
        <w:rPr>
          <w:rFonts w:hint="eastAsia"/>
        </w:rPr>
        <w:t xml:space="preserve">　(５)　地域における医療及び介護を総合的に確保するための方針に基づく新たな財政支援制度（基金）において、他省庁と調整し、所要額の確保、充実をはかること。</w:t>
      </w:r>
    </w:p>
    <w:p w:rsidR="00720DE0" w:rsidRDefault="00720DE0" w:rsidP="00720DE0">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生活保護および生活困窮者自立支援への対処のため、地方財政計画において行政需要を適正に見積もり、地域福祉・保健・医療関係にかかる地方交付税の単位費用等の改善を行うこと。</w:t>
      </w:r>
    </w:p>
    <w:p w:rsidR="00720DE0" w:rsidRDefault="00720DE0" w:rsidP="00720DE0">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720DE0" w:rsidRDefault="00720DE0" w:rsidP="00720DE0">
      <w:pPr>
        <w:ind w:left="719" w:hangingChars="300" w:hanging="719"/>
      </w:pPr>
      <w:r>
        <w:rPr>
          <w:rFonts w:hint="eastAsia"/>
        </w:rPr>
        <w:lastRenderedPageBreak/>
        <w:t xml:space="preserve">　(８)　年金や医療、介護保険などの各社会保険財政の強化と安定的な給付、社会保険の所得再分配機能を強化するため、各社会保険に対する公費負担を確保すること。</w:t>
      </w:r>
    </w:p>
    <w:p w:rsidR="00720DE0" w:rsidRDefault="00720DE0" w:rsidP="00720DE0">
      <w:pPr>
        <w:ind w:left="719" w:hangingChars="300" w:hanging="719"/>
      </w:pPr>
      <w:r>
        <w:rPr>
          <w:rFonts w:hint="eastAsia"/>
        </w:rPr>
        <w:t xml:space="preserve">　(９)　地域医療と、地域医療構想を踏まえた継続的な在宅医療拡充のため、病院事業（医療従事者の研修等の費用含む）にかかる地方交付税の充実をはかること。同時に、公立病院が主導的に担っている、不採算・高度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7.　環境政策の推進</w:t>
      </w:r>
    </w:p>
    <w:p w:rsidR="00720DE0" w:rsidRDefault="00720DE0" w:rsidP="00720DE0">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720DE0" w:rsidRDefault="00720DE0" w:rsidP="00720DE0">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720DE0" w:rsidRDefault="00720DE0" w:rsidP="00720DE0">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720DE0" w:rsidRDefault="00720DE0" w:rsidP="00720DE0"/>
    <w:p w:rsidR="00720DE0" w:rsidRPr="00144D49" w:rsidRDefault="00720DE0" w:rsidP="00720DE0">
      <w:pPr>
        <w:ind w:rightChars="200" w:right="479"/>
        <w:jc w:val="right"/>
        <w:rPr>
          <w:szCs w:val="22"/>
        </w:rPr>
      </w:pPr>
      <w:r w:rsidRPr="00144D49">
        <w:rPr>
          <w:rFonts w:hint="eastAsia"/>
          <w:szCs w:val="22"/>
        </w:rPr>
        <w:t xml:space="preserve">以　　上　　</w:t>
      </w:r>
    </w:p>
    <w:p w:rsidR="003B1F44" w:rsidRDefault="003B1F44" w:rsidP="00D716BB">
      <w:pPr>
        <w:sectPr w:rsidR="003B1F44">
          <w:footerReference w:type="default" r:id="rId8"/>
          <w:pgSz w:w="11906" w:h="16838" w:code="9"/>
          <w:pgMar w:top="1218" w:right="1153" w:bottom="1218" w:left="1153" w:header="851" w:footer="726" w:gutter="0"/>
          <w:cols w:space="720"/>
          <w:docGrid w:type="linesAndChars" w:linePitch="400" w:charSpace="-72"/>
        </w:sectPr>
      </w:pPr>
    </w:p>
    <w:p w:rsidR="003B1F44" w:rsidRPr="003B1F44" w:rsidRDefault="003B1F44" w:rsidP="003B1F44">
      <w:pPr>
        <w:rPr>
          <w:rFonts w:ascii="ＭＳ ゴシック" w:eastAsia="ＭＳ ゴシック" w:hAnsi="ＭＳ ゴシック"/>
          <w:sz w:val="26"/>
          <w:szCs w:val="26"/>
        </w:rPr>
      </w:pPr>
      <w:r w:rsidRPr="003B1F44">
        <w:rPr>
          <w:rFonts w:ascii="ＭＳ ゴシック" w:eastAsia="ＭＳ ゴシック" w:hAnsi="ＭＳ ゴシック" w:hint="eastAsia"/>
          <w:sz w:val="26"/>
          <w:szCs w:val="26"/>
        </w:rPr>
        <w:lastRenderedPageBreak/>
        <w:t>＜以下、個別課題の要請＞</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1.　東日本大震災復旧・復興支援要請</w:t>
      </w:r>
    </w:p>
    <w:p w:rsidR="003B1F44" w:rsidRDefault="003B1F44" w:rsidP="003B1F44">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B1F44" w:rsidRDefault="003B1F44" w:rsidP="003B1F44">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B1F44" w:rsidRDefault="003B1F44" w:rsidP="003B1F44">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B1F44" w:rsidRDefault="003B1F44" w:rsidP="003B1F44">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B1F44" w:rsidRDefault="003B1F44" w:rsidP="003B1F44">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3B1F44" w:rsidRDefault="003B1F44" w:rsidP="003B1F44">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3B1F44" w:rsidRDefault="003B1F44" w:rsidP="003B1F44">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3B1F44" w:rsidRDefault="003B1F44" w:rsidP="003B1F44">
      <w:pPr>
        <w:ind w:left="719" w:hangingChars="300" w:hanging="719"/>
      </w:pPr>
      <w:r>
        <w:rPr>
          <w:rFonts w:hint="eastAsia"/>
        </w:rPr>
        <w:t xml:space="preserve">　(７)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B1F44" w:rsidRDefault="003B1F44" w:rsidP="003B1F44">
      <w:pPr>
        <w:ind w:left="719" w:hangingChars="300" w:hanging="719"/>
      </w:pPr>
      <w:r>
        <w:rPr>
          <w:rFonts w:hint="eastAsia"/>
        </w:rPr>
        <w:t xml:space="preserve">　(８)　中間貯蔵施設の建設は、政府職員の用地業務執行体制を強化し、安全な輸送体制と搬入経路の住民の理解を得ること。</w:t>
      </w:r>
    </w:p>
    <w:p w:rsidR="003B1F44" w:rsidRDefault="003B1F44" w:rsidP="003B1F44">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3B1F44" w:rsidRDefault="003B1F44" w:rsidP="003B1F44">
      <w:pPr>
        <w:ind w:left="719" w:hangingChars="300" w:hanging="719"/>
      </w:pPr>
      <w:r>
        <w:rPr>
          <w:rFonts w:hint="eastAsia"/>
        </w:rPr>
        <w:t xml:space="preserve">　(10)　原子力損害賠償は、被災者、企業をはじめ、被災自治体に対しても、その損害額すべてについて迅速かつ適切に賠償が行われるよう、政府は責任を持って対応を行うこと。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2.　ストレスチェックの義務化について</w:t>
      </w:r>
    </w:p>
    <w:p w:rsidR="003B1F44" w:rsidRDefault="003B1F44" w:rsidP="003B1F44">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3.　公教育の無償化について</w:t>
      </w:r>
    </w:p>
    <w:p w:rsidR="003B1F44" w:rsidRDefault="003B1F44" w:rsidP="003B1F44">
      <w:r>
        <w:rPr>
          <w:rFonts w:hint="eastAsia"/>
        </w:rPr>
        <w:t xml:space="preserve">　(１)　義務制諸学校において教材費、給食費等の公費負担を拡充すること。</w:t>
      </w:r>
    </w:p>
    <w:p w:rsidR="003B1F44" w:rsidRDefault="003B1F44" w:rsidP="003B1F44">
      <w:pPr>
        <w:ind w:left="719" w:hangingChars="300" w:hanging="719"/>
      </w:pPr>
      <w:r>
        <w:rPr>
          <w:rFonts w:hint="eastAsia"/>
        </w:rPr>
        <w:t xml:space="preserve">　(２)　学校の私費会計（給食費・教材費等）の経理事故が止むことなく発生している。学校における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3B1F44" w:rsidRDefault="003B1F44" w:rsidP="003B1F44">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4.　教職員人件費について</w:t>
      </w:r>
    </w:p>
    <w:p w:rsidR="003B1F44" w:rsidRDefault="003B1F44" w:rsidP="003B1F44">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5.　学校事務職員の定数について</w:t>
      </w:r>
    </w:p>
    <w:p w:rsidR="003B1F44" w:rsidRDefault="003B1F44" w:rsidP="003B1F44">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w:t>
      </w:r>
    </w:p>
    <w:p w:rsidR="003B1F44" w:rsidRDefault="003B1F44" w:rsidP="003B1F44">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3B1F44" w:rsidRDefault="003B1F44" w:rsidP="003B1F44">
      <w:r>
        <w:rPr>
          <w:rFonts w:hint="eastAsia"/>
        </w:rPr>
        <w:t xml:space="preserve">　(３)　高校授業料に関する事務量の増加に伴い、人件費等の必要な財源措置を行うこと。</w:t>
      </w:r>
    </w:p>
    <w:p w:rsidR="00496497" w:rsidRDefault="00496497"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6.　児童手当による学校給食費等の徴収について</w:t>
      </w:r>
    </w:p>
    <w:p w:rsidR="003B1F44" w:rsidRDefault="003B1F44" w:rsidP="003B1F44">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w:t>
      </w:r>
      <w:r>
        <w:rPr>
          <w:rFonts w:hint="eastAsia"/>
        </w:rPr>
        <w:lastRenderedPageBreak/>
        <w:t>れる。</w:t>
      </w:r>
    </w:p>
    <w:p w:rsidR="003B1F44" w:rsidRDefault="003B1F44" w:rsidP="003B1F44">
      <w:pPr>
        <w:ind w:left="240" w:hangingChars="100" w:hanging="240"/>
      </w:pPr>
      <w:r>
        <w:rPr>
          <w:rFonts w:hint="eastAsia"/>
        </w:rPr>
        <w:t xml:space="preserve">　　また、児童手当支給時期の関係から食材提供業者等への支払いに混乱を生じるなど検討すべき課題が多くある。</w:t>
      </w:r>
    </w:p>
    <w:p w:rsidR="003B1F44" w:rsidRDefault="003B1F44" w:rsidP="003B1F44">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3B1F44" w:rsidRDefault="003B1F44" w:rsidP="003B1F44">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7.　生涯学習の充実等について</w:t>
      </w:r>
    </w:p>
    <w:p w:rsidR="003B1F44" w:rsidRDefault="003B1F44" w:rsidP="003B1F44">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8.　学校給食および学校用務に関する事項について</w:t>
      </w:r>
    </w:p>
    <w:p w:rsidR="003B1F44" w:rsidRDefault="003B1F44" w:rsidP="003B1F44">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9.　地方公営企業に関する事項について</w:t>
      </w:r>
    </w:p>
    <w:p w:rsidR="003B1F44" w:rsidRDefault="003B1F44" w:rsidP="003B1F44">
      <w:pPr>
        <w:ind w:left="719" w:hangingChars="300" w:hanging="719"/>
      </w:pPr>
      <w:r>
        <w:rPr>
          <w:rFonts w:hint="eastAsia"/>
        </w:rPr>
        <w:t xml:space="preserve">　(１)　元利償還金の負担軽減を行うための繰上償還制度を新たに設置し、公営企業債範囲の年利５％未満へ適用できるようにすること。また、公営企業借換債制度の条件についても緩和すること。さらに、東日本大震災の被害を受けた事業体に対しては、積極的な導入をはかること。</w:t>
      </w:r>
    </w:p>
    <w:p w:rsidR="003B1F44" w:rsidRDefault="003B1F44" w:rsidP="003B1F44">
      <w:pPr>
        <w:ind w:left="719" w:hangingChars="300" w:hanging="719"/>
      </w:pPr>
      <w:r>
        <w:rPr>
          <w:rFonts w:hint="eastAsia"/>
        </w:rPr>
        <w:t xml:space="preserve">　(２)　企業債の償還期間を事業毎・規模毎に平均耐用年数を明確化し、耐用年数に見合う減価償却費の適正化をはかること。とくに土木・建築構造物について検討を早急に行うこと。</w:t>
      </w:r>
    </w:p>
    <w:p w:rsidR="003B1F44" w:rsidRDefault="003B1F44" w:rsidP="003B1F44">
      <w:pPr>
        <w:ind w:left="719" w:hangingChars="300" w:hanging="719"/>
      </w:pPr>
      <w:r>
        <w:rPr>
          <w:rFonts w:hint="eastAsia"/>
        </w:rPr>
        <w:t xml:space="preserve">　(３)　資本制度・会計基準の見直しについては、2014年度地方公営企業決算を踏まえ、地方公営企業会計の見直しによる事業への影響を詳細に分析の上、影響の大きい事業については、特段の措置を講じること。</w:t>
      </w:r>
    </w:p>
    <w:p w:rsidR="003B1F44" w:rsidRDefault="003B1F44" w:rsidP="003B1F44">
      <w:r>
        <w:rPr>
          <w:rFonts w:hint="eastAsia"/>
        </w:rPr>
        <w:t xml:space="preserve">　(４)　地方公営企業法の適用に関わる研究会関係</w:t>
      </w:r>
    </w:p>
    <w:p w:rsidR="003B1F44" w:rsidRDefault="003B1F44" w:rsidP="003B1F44">
      <w:pPr>
        <w:ind w:left="959" w:hangingChars="400" w:hanging="959"/>
      </w:pPr>
      <w:r>
        <w:rPr>
          <w:rFonts w:hint="eastAsia"/>
        </w:rPr>
        <w:t xml:space="preserve">　　　①　地方公営企業法の（全面・財務）適用に関する通知が１月27日に発せられたが、事業管理者の権限を高め、事業に携わる労働者の権利を守るためにも、地方公営企業法の適用は、原則全部適用とすること。また、移行に関わる費用や移行後に新たに発生する経費は、国で全額負担すること。</w:t>
      </w:r>
    </w:p>
    <w:p w:rsidR="003B1F44" w:rsidRDefault="003B1F44" w:rsidP="003B1F44">
      <w:pPr>
        <w:ind w:left="959" w:hangingChars="400" w:hanging="959"/>
      </w:pPr>
      <w:r>
        <w:rPr>
          <w:rFonts w:hint="eastAsia"/>
        </w:rPr>
        <w:t xml:space="preserve">　　　②　簡易水道事業や小規模な下水道（集落排水含む）における地方公営企業法の適</w:t>
      </w:r>
      <w:r>
        <w:rPr>
          <w:rFonts w:hint="eastAsia"/>
        </w:rPr>
        <w:lastRenderedPageBreak/>
        <w:t>用は、各地方自治体（市町村）の意見を反映し、事業の規模および地域性に十分に配慮したものとなるよう慎重に検討すること。</w:t>
      </w:r>
    </w:p>
    <w:p w:rsidR="003B1F44" w:rsidRDefault="003B1F44" w:rsidP="003B1F44">
      <w:r>
        <w:rPr>
          <w:rFonts w:hint="eastAsia"/>
        </w:rPr>
        <w:t xml:space="preserve">　(５)　公共交通の拡充</w:t>
      </w:r>
    </w:p>
    <w:p w:rsidR="003B1F44" w:rsidRDefault="003B1F44" w:rsidP="003B1F44">
      <w:pPr>
        <w:ind w:left="959" w:hangingChars="400" w:hanging="959"/>
      </w:pPr>
      <w:r>
        <w:rPr>
          <w:rFonts w:hint="eastAsia"/>
        </w:rPr>
        <w:t xml:space="preserve">　　　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3B1F44" w:rsidRDefault="003B1F44" w:rsidP="003B1F44">
      <w:pPr>
        <w:ind w:left="959" w:hangingChars="400" w:hanging="959"/>
      </w:pPr>
      <w:r>
        <w:rPr>
          <w:rFonts w:hint="eastAsia"/>
        </w:rPr>
        <w:t xml:space="preserve">　　　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3B1F44" w:rsidRDefault="003B1F44" w:rsidP="003B1F44">
      <w:pPr>
        <w:ind w:left="959" w:hangingChars="400" w:hanging="959"/>
      </w:pPr>
      <w:r>
        <w:rPr>
          <w:rFonts w:hint="eastAsia"/>
        </w:rPr>
        <w:t xml:space="preserve">　　　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3B1F44" w:rsidRDefault="003B1F44" w:rsidP="003B1F44">
      <w:r>
        <w:rPr>
          <w:rFonts w:hint="eastAsia"/>
        </w:rPr>
        <w:t xml:space="preserve">　(６)　公立病院関係</w:t>
      </w:r>
    </w:p>
    <w:p w:rsidR="003B1F44" w:rsidRDefault="003B1F44" w:rsidP="003B1F44">
      <w:pPr>
        <w:ind w:left="959" w:hangingChars="400" w:hanging="959"/>
      </w:pPr>
      <w:r>
        <w:rPr>
          <w:rFonts w:hint="eastAsia"/>
        </w:rPr>
        <w:t xml:space="preserve">　　　①　地域医療と、地域医療構想を踏まえた在宅医療充実のため、病院事業（医療従事者の研修等の費用を含む）に関わる地方交付税の充実をはかること。</w:t>
      </w:r>
    </w:p>
    <w:p w:rsidR="003B1F44" w:rsidRDefault="003B1F44" w:rsidP="003B1F44">
      <w:pPr>
        <w:ind w:left="959" w:hangingChars="400" w:hanging="959"/>
      </w:pPr>
      <w:r>
        <w:rPr>
          <w:rFonts w:hint="eastAsia"/>
        </w:rPr>
        <w:t xml:space="preserve">　　　②　公立病院が主導的に担っている、不採算・高度救急・小児周産期・精神救急医療等と、それを担う医師・看護師をはじめとする医療従事者の確保や処遇改善等における所要額の確保、充実をはかること。</w:t>
      </w:r>
    </w:p>
    <w:p w:rsidR="003B1F44" w:rsidRDefault="003B1F44" w:rsidP="003B1F44">
      <w:pPr>
        <w:ind w:left="959" w:hangingChars="400" w:hanging="959"/>
      </w:pPr>
      <w:r>
        <w:rPr>
          <w:rFonts w:hint="eastAsia"/>
        </w:rPr>
        <w:t xml:space="preserve">　　　③　医療提供体制にむけた「新たな財政支援制度」において、他省庁と調整し、所要額の確保、充実をはかること。</w:t>
      </w:r>
    </w:p>
    <w:p w:rsidR="003B1F44" w:rsidRDefault="003B1F44" w:rsidP="003B1F44">
      <w:r>
        <w:rPr>
          <w:rFonts w:hint="eastAsia"/>
        </w:rPr>
        <w:t xml:space="preserve">　(７)　東日本大震災関係</w:t>
      </w:r>
    </w:p>
    <w:p w:rsidR="003B1F44" w:rsidRDefault="003B1F44" w:rsidP="003B1F44">
      <w:pPr>
        <w:ind w:left="959" w:hangingChars="400" w:hanging="959"/>
      </w:pPr>
      <w:r>
        <w:rPr>
          <w:rFonts w:hint="eastAsia"/>
        </w:rPr>
        <w:t xml:space="preserve">　　　①　東日本大震災で被災した各上下水道事業体は、一時避難等によ</w:t>
      </w:r>
      <w:r w:rsidR="00FA75F0">
        <w:rPr>
          <w:rFonts w:hint="eastAsia"/>
        </w:rPr>
        <w:t>る</w:t>
      </w:r>
      <w:r>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3B1F44" w:rsidRDefault="003B1F44" w:rsidP="003B1F44">
      <w:pPr>
        <w:ind w:left="959" w:hangingChars="400" w:hanging="959"/>
      </w:pPr>
      <w:r>
        <w:rPr>
          <w:rFonts w:hint="eastAsia"/>
        </w:rPr>
        <w:t xml:space="preserve">　　　②　浄水発生土や汚水発生土の最終処分は、当該省庁と連携し、国の責任において最終処分場の確保を行い、また、その費用についても国で全額負担すること。</w:t>
      </w:r>
    </w:p>
    <w:p w:rsidR="003B1F44" w:rsidRDefault="003B1F44" w:rsidP="003B1F44">
      <w:pPr>
        <w:ind w:left="959" w:hangingChars="400" w:hanging="959"/>
      </w:pPr>
      <w:r>
        <w:rPr>
          <w:rFonts w:hint="eastAsia"/>
        </w:rPr>
        <w:t xml:space="preserve">　　　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3B1F44" w:rsidRDefault="003B1F44" w:rsidP="003B1F44">
      <w:pPr>
        <w:ind w:left="959" w:hangingChars="400" w:hanging="959"/>
      </w:pPr>
      <w:r>
        <w:rPr>
          <w:rFonts w:hint="eastAsia"/>
        </w:rPr>
        <w:t xml:space="preserve">　　　④　東日本大震災を踏まえ</w:t>
      </w:r>
      <w:r w:rsidR="005D6C65">
        <w:rPr>
          <w:rFonts w:hint="eastAsia"/>
        </w:rPr>
        <w:t>、</w:t>
      </w:r>
      <w:r>
        <w:rPr>
          <w:rFonts w:hint="eastAsia"/>
        </w:rPr>
        <w:t>津波対策をはじめ耐震化対策を全国で実施する必要が</w:t>
      </w:r>
      <w:r>
        <w:rPr>
          <w:rFonts w:hint="eastAsia"/>
        </w:rPr>
        <w:lastRenderedPageBreak/>
        <w:t>あり</w:t>
      </w:r>
      <w:r w:rsidR="005D6C65">
        <w:rPr>
          <w:rFonts w:hint="eastAsia"/>
        </w:rPr>
        <w:t>、</w:t>
      </w:r>
      <w:r>
        <w:rPr>
          <w:rFonts w:hint="eastAsia"/>
        </w:rPr>
        <w:t>その財源措置を関係省庁と連携して行うこと。</w:t>
      </w:r>
    </w:p>
    <w:p w:rsidR="003B1F44" w:rsidRDefault="003B1F44" w:rsidP="003B1F44">
      <w:pPr>
        <w:ind w:left="719" w:hangingChars="300" w:hanging="719"/>
      </w:pPr>
      <w:r>
        <w:rPr>
          <w:rFonts w:hint="eastAsia"/>
        </w:rPr>
        <w:t xml:space="preserve">　(８)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5D6C65">
        <w:rPr>
          <w:rFonts w:hint="eastAsia"/>
        </w:rPr>
        <w:t>、</w:t>
      </w:r>
      <w:r>
        <w:rPr>
          <w:rFonts w:hint="eastAsia"/>
        </w:rPr>
        <w:t>事業者に一括した政策や制度を提示すること。</w:t>
      </w:r>
    </w:p>
    <w:p w:rsidR="003B1F44" w:rsidRDefault="003B1F44" w:rsidP="003B1F44">
      <w:pPr>
        <w:ind w:left="719" w:hangingChars="300" w:hanging="719"/>
      </w:pPr>
      <w:r>
        <w:rPr>
          <w:rFonts w:hint="eastAsia"/>
        </w:rPr>
        <w:t xml:space="preserve">　(９)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3B1F44" w:rsidRDefault="003B1F44" w:rsidP="003B1F44">
      <w:pPr>
        <w:ind w:left="719" w:hangingChars="300" w:hanging="719"/>
      </w:pPr>
      <w:r>
        <w:rPr>
          <w:rFonts w:hint="eastAsia"/>
        </w:rPr>
        <w:t xml:space="preserve">　(10)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3B1F44" w:rsidRDefault="003B1F44" w:rsidP="003B1F44">
      <w:pPr>
        <w:ind w:left="719" w:hangingChars="300" w:hanging="719"/>
      </w:pPr>
      <w:r>
        <w:rPr>
          <w:rFonts w:hint="eastAsia"/>
        </w:rPr>
        <w:t xml:space="preserve">　(11)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5D6C65">
        <w:rPr>
          <w:rFonts w:hint="eastAsia"/>
        </w:rPr>
        <w:t>よう</w:t>
      </w:r>
      <w:r>
        <w:rPr>
          <w:rFonts w:hint="eastAsia"/>
        </w:rPr>
        <w:t>に見受けられるので、各自治体が適用法律の理解を深め、現状を是正するように指導すること。</w:t>
      </w:r>
    </w:p>
    <w:p w:rsidR="003B1F44" w:rsidRDefault="003B1F44" w:rsidP="003B1F44"/>
    <w:p w:rsidR="003B1F44" w:rsidRPr="00646F51" w:rsidRDefault="003B1F44" w:rsidP="003B1F44">
      <w:pPr>
        <w:ind w:left="240" w:rightChars="200" w:right="479" w:hangingChars="100" w:hanging="240"/>
        <w:jc w:val="right"/>
        <w:rPr>
          <w:szCs w:val="22"/>
        </w:rPr>
      </w:pPr>
      <w:r w:rsidRPr="00646F51">
        <w:rPr>
          <w:rFonts w:hint="eastAsia"/>
          <w:szCs w:val="22"/>
        </w:rPr>
        <w:t xml:space="preserve">以　　上　　</w:t>
      </w:r>
    </w:p>
    <w:p w:rsidR="003B1F44" w:rsidRDefault="003B1F44" w:rsidP="003B1F44"/>
    <w:p w:rsidR="003B1F44" w:rsidRDefault="003B1F44" w:rsidP="003B1F44"/>
    <w:p w:rsidR="003B1F44" w:rsidRPr="005438B3" w:rsidRDefault="003B1F44" w:rsidP="00D716BB"/>
    <w:sectPr w:rsidR="003B1F44" w:rsidRPr="005438B3" w:rsidSect="00D04FE8">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8F" w:rsidRDefault="00F62F8F">
      <w:r>
        <w:separator/>
      </w:r>
    </w:p>
  </w:endnote>
  <w:endnote w:type="continuationSeparator" w:id="0">
    <w:p w:rsidR="00F62F8F" w:rsidRDefault="00F6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63"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661BC8">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661BC8">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8F" w:rsidRDefault="00F62F8F">
      <w:r>
        <w:separator/>
      </w:r>
    </w:p>
  </w:footnote>
  <w:footnote w:type="continuationSeparator" w:id="0">
    <w:p w:rsidR="00F62F8F" w:rsidRDefault="00F62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1A4611"/>
    <w:rsid w:val="00246FA1"/>
    <w:rsid w:val="002C4EC3"/>
    <w:rsid w:val="003B1F44"/>
    <w:rsid w:val="003E2E80"/>
    <w:rsid w:val="00486533"/>
    <w:rsid w:val="00496497"/>
    <w:rsid w:val="004A5553"/>
    <w:rsid w:val="005438B3"/>
    <w:rsid w:val="005D6C65"/>
    <w:rsid w:val="00661BC8"/>
    <w:rsid w:val="00720DE0"/>
    <w:rsid w:val="00883E24"/>
    <w:rsid w:val="00A50820"/>
    <w:rsid w:val="00AA09B6"/>
    <w:rsid w:val="00B62863"/>
    <w:rsid w:val="00D04FE8"/>
    <w:rsid w:val="00D716BB"/>
    <w:rsid w:val="00F361D8"/>
    <w:rsid w:val="00F62F8F"/>
    <w:rsid w:val="00FA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10</Pages>
  <Words>1445</Words>
  <Characters>8243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2015-11-11T02:08:00Z</cp:lastPrinted>
  <dcterms:created xsi:type="dcterms:W3CDTF">2015-11-27T00:53:00Z</dcterms:created>
  <dcterms:modified xsi:type="dcterms:W3CDTF">2015-11-27T00:53:00Z</dcterms:modified>
</cp:coreProperties>
</file>